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D6687C">
        <w:rPr>
          <w:b/>
          <w:noProof/>
          <w:sz w:val="24"/>
        </w:rPr>
        <w:t>6bis-e</w:t>
      </w:r>
      <w:r w:rsidRPr="007A171D">
        <w:rPr>
          <w:b/>
          <w:noProof/>
          <w:sz w:val="24"/>
        </w:rPr>
        <w:tab/>
      </w:r>
      <w:r w:rsidR="009A7994" w:rsidRPr="009A7994">
        <w:rPr>
          <w:b/>
          <w:noProof/>
          <w:sz w:val="24"/>
        </w:rPr>
        <w:t>R4-2305614</w:t>
      </w:r>
      <w:bookmarkStart w:id="0" w:name="_GoBack"/>
      <w:bookmarkEnd w:id="0"/>
    </w:p>
    <w:p w:rsidR="004D1211" w:rsidRPr="00905B0F" w:rsidRDefault="00D6687C" w:rsidP="004D1211">
      <w:pPr>
        <w:pStyle w:val="CRCoverPage"/>
        <w:tabs>
          <w:tab w:val="right" w:pos="9639"/>
        </w:tabs>
        <w:spacing w:after="0"/>
        <w:rPr>
          <w:b/>
          <w:noProof/>
          <w:sz w:val="24"/>
        </w:rPr>
      </w:pPr>
      <w:r>
        <w:rPr>
          <w:rFonts w:eastAsia="宋体" w:cs="Arial"/>
          <w:b/>
          <w:sz w:val="24"/>
          <w:szCs w:val="24"/>
          <w:lang w:eastAsia="zh-CN"/>
        </w:rPr>
        <w:t>e-meeting</w:t>
      </w:r>
      <w:r w:rsidR="00B15A0A">
        <w:rPr>
          <w:rFonts w:eastAsia="宋体" w:cs="Arial"/>
          <w:b/>
          <w:sz w:val="24"/>
          <w:szCs w:val="24"/>
          <w:lang w:eastAsia="zh-CN"/>
        </w:rPr>
        <w:t>,</w:t>
      </w:r>
      <w:r w:rsidR="00B15A0A" w:rsidRPr="00E13633">
        <w:rPr>
          <w:rFonts w:eastAsia="宋体" w:cs="Arial"/>
          <w:b/>
          <w:sz w:val="24"/>
          <w:szCs w:val="24"/>
          <w:lang w:eastAsia="zh-CN"/>
        </w:rPr>
        <w:t xml:space="preserve"> </w:t>
      </w:r>
      <w:r>
        <w:rPr>
          <w:rFonts w:eastAsia="宋体" w:cs="Arial"/>
          <w:b/>
          <w:sz w:val="24"/>
          <w:szCs w:val="24"/>
          <w:lang w:eastAsia="zh-CN"/>
        </w:rPr>
        <w:t>April</w:t>
      </w:r>
      <w:r w:rsidR="00B15A0A">
        <w:rPr>
          <w:rFonts w:eastAsia="宋体" w:cs="Arial"/>
          <w:b/>
          <w:sz w:val="24"/>
          <w:szCs w:val="24"/>
          <w:lang w:eastAsia="zh-CN"/>
        </w:rPr>
        <w:t xml:space="preserve"> </w:t>
      </w:r>
      <w:r w:rsidR="002910C5">
        <w:rPr>
          <w:rFonts w:eastAsia="宋体" w:cs="Arial"/>
          <w:b/>
          <w:sz w:val="24"/>
          <w:szCs w:val="24"/>
          <w:lang w:eastAsia="zh-CN"/>
        </w:rPr>
        <w:t>1</w:t>
      </w:r>
      <w:r w:rsidR="00B15A0A">
        <w:rPr>
          <w:rFonts w:eastAsia="宋体" w:cs="Arial"/>
          <w:b/>
          <w:sz w:val="24"/>
          <w:szCs w:val="24"/>
          <w:lang w:eastAsia="zh-CN"/>
        </w:rPr>
        <w:t>7</w:t>
      </w:r>
      <w:r w:rsidR="00B15A0A" w:rsidRPr="00E13633">
        <w:rPr>
          <w:rFonts w:eastAsia="宋体" w:cs="Arial"/>
          <w:b/>
          <w:sz w:val="24"/>
          <w:szCs w:val="24"/>
          <w:lang w:eastAsia="zh-CN"/>
        </w:rPr>
        <w:t xml:space="preserve"> – </w:t>
      </w:r>
      <w:r w:rsidR="002910C5">
        <w:rPr>
          <w:rFonts w:eastAsia="宋体" w:cs="Arial"/>
          <w:b/>
          <w:sz w:val="24"/>
          <w:szCs w:val="24"/>
          <w:lang w:eastAsia="zh-CN"/>
        </w:rPr>
        <w:t>April 26</w:t>
      </w:r>
      <w:r w:rsidR="00B15A0A" w:rsidRPr="00E13633">
        <w:rPr>
          <w:rFonts w:eastAsia="宋体" w:cs="Arial"/>
          <w:b/>
          <w:sz w:val="24"/>
          <w:szCs w:val="24"/>
          <w:lang w:eastAsia="zh-CN"/>
        </w:rPr>
        <w:t>, 202</w:t>
      </w:r>
      <w:r w:rsidR="002910C5">
        <w:rPr>
          <w:rFonts w:eastAsia="宋体" w:cs="Arial"/>
          <w:b/>
          <w:sz w:val="24"/>
          <w:szCs w:val="24"/>
          <w:lang w:eastAsia="zh-CN"/>
        </w:rPr>
        <w:t>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3A4F57">
        <w:rPr>
          <w:rFonts w:ascii="Arial" w:hAnsi="Arial" w:cs="Arial"/>
          <w:lang w:val="en-US"/>
        </w:rPr>
        <w:t>O</w:t>
      </w:r>
      <w:r w:rsidR="00097F2F">
        <w:rPr>
          <w:rFonts w:ascii="Arial" w:hAnsi="Arial" w:cs="Arial"/>
          <w:lang w:val="en-US"/>
        </w:rPr>
        <w:t>n</w:t>
      </w:r>
      <w:r w:rsidR="002910C5">
        <w:rPr>
          <w:rFonts w:ascii="Arial" w:hAnsi="Arial" w:cs="Arial"/>
          <w:lang w:val="en-US"/>
        </w:rPr>
        <w:t xml:space="preserve"> </w:t>
      </w:r>
      <w:r w:rsidR="00795C73">
        <w:rPr>
          <w:rFonts w:ascii="Arial" w:hAnsi="Arial" w:cs="Arial"/>
          <w:lang w:val="en-US"/>
        </w:rPr>
        <w:t>hybrid approach for FR2 MIMO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724A0">
        <w:rPr>
          <w:rFonts w:ascii="Arial" w:hAnsi="Arial" w:cs="Arial"/>
          <w:b/>
          <w:lang w:val="en-US"/>
        </w:rPr>
        <w:t>5</w:t>
      </w:r>
      <w:r w:rsidR="00B15A0A">
        <w:rPr>
          <w:rFonts w:ascii="Arial" w:hAnsi="Arial" w:cs="Arial"/>
          <w:b/>
          <w:lang w:val="en-US"/>
        </w:rPr>
        <w:t>.</w:t>
      </w:r>
      <w:r w:rsidR="009D2D87">
        <w:rPr>
          <w:rFonts w:ascii="Arial" w:hAnsi="Arial" w:cs="Arial"/>
          <w:b/>
          <w:lang w:val="en-US"/>
        </w:rPr>
        <w:t>1</w:t>
      </w:r>
      <w:r w:rsidR="003A4F57">
        <w:rPr>
          <w:rFonts w:ascii="Arial" w:hAnsi="Arial" w:cs="Arial"/>
          <w:b/>
          <w:lang w:val="en-US"/>
        </w:rPr>
        <w:t>7</w:t>
      </w:r>
      <w:r w:rsidR="009D2D87">
        <w:rPr>
          <w:rFonts w:ascii="Arial" w:hAnsi="Arial" w:cs="Arial"/>
          <w:b/>
          <w:lang w:val="en-US"/>
        </w:rPr>
        <w:t>.</w:t>
      </w:r>
      <w:r w:rsidR="00795C73">
        <w:rPr>
          <w:rFonts w:ascii="Arial" w:hAnsi="Arial" w:cs="Arial"/>
          <w:b/>
          <w:lang w:val="en-US"/>
        </w:rPr>
        <w:t>5</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C83400" w:rsidRDefault="00BC6534" w:rsidP="00C239D6">
      <w:pPr>
        <w:tabs>
          <w:tab w:val="left" w:pos="5103"/>
        </w:tabs>
        <w:spacing w:after="240" w:line="360" w:lineRule="auto"/>
        <w:rPr>
          <w:rFonts w:eastAsia="等线"/>
          <w:lang w:val="en-US" w:eastAsia="zh-CN"/>
        </w:rPr>
      </w:pPr>
      <w:r>
        <w:rPr>
          <w:rFonts w:eastAsia="等线" w:hint="eastAsia"/>
          <w:lang w:val="en-US" w:eastAsia="zh-CN"/>
        </w:rPr>
        <w:t>F</w:t>
      </w:r>
      <w:r>
        <w:rPr>
          <w:rFonts w:eastAsia="等线"/>
          <w:lang w:val="en-US" w:eastAsia="zh-CN"/>
        </w:rPr>
        <w:t xml:space="preserve">or FR2 MIMO OTA </w:t>
      </w:r>
      <w:r w:rsidR="00C83400">
        <w:rPr>
          <w:rFonts w:eastAsia="等线"/>
          <w:lang w:val="en-US" w:eastAsia="zh-CN"/>
        </w:rPr>
        <w:t>performance requirement derivation, both pure measurement approach and hybrid approach were considered and the down-selection would be made no later than RAN4#109 [1].</w:t>
      </w:r>
    </w:p>
    <w:p w:rsidR="00C83400" w:rsidRDefault="00C83400" w:rsidP="00C83400">
      <w:pPr>
        <w:tabs>
          <w:tab w:val="left" w:pos="5103"/>
        </w:tabs>
        <w:spacing w:after="240" w:line="360" w:lineRule="auto"/>
        <w:jc w:val="center"/>
        <w:rPr>
          <w:rFonts w:eastAsia="等线"/>
          <w:lang w:val="en-US" w:eastAsia="zh-CN"/>
        </w:rPr>
      </w:pPr>
      <w:r>
        <w:rPr>
          <w:noProof/>
        </w:rPr>
        <w:drawing>
          <wp:inline distT="0" distB="0" distL="0" distR="0" wp14:anchorId="2873786D" wp14:editId="782EC1A2">
            <wp:extent cx="6115050" cy="816993"/>
            <wp:effectExtent l="19050" t="19050" r="1905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9188" cy="818882"/>
                    </a:xfrm>
                    <a:prstGeom prst="rect">
                      <a:avLst/>
                    </a:prstGeom>
                    <a:ln>
                      <a:solidFill>
                        <a:schemeClr val="tx1"/>
                      </a:solidFill>
                    </a:ln>
                  </pic:spPr>
                </pic:pic>
              </a:graphicData>
            </a:graphic>
          </wp:inline>
        </w:drawing>
      </w:r>
    </w:p>
    <w:p w:rsidR="003A4F57" w:rsidRDefault="00C83400" w:rsidP="00C239D6">
      <w:pPr>
        <w:tabs>
          <w:tab w:val="left" w:pos="5103"/>
        </w:tabs>
        <w:spacing w:after="240" w:line="360" w:lineRule="auto"/>
        <w:rPr>
          <w:rFonts w:eastAsia="等线"/>
          <w:lang w:val="en-US" w:eastAsia="zh-CN"/>
        </w:rPr>
      </w:pPr>
      <w:r>
        <w:rPr>
          <w:rFonts w:eastAsia="等线"/>
          <w:lang w:val="en-US" w:eastAsia="zh-CN"/>
        </w:rPr>
        <w:t>This contribution further discusses the details</w:t>
      </w:r>
      <w:r w:rsidR="00F76D3A">
        <w:rPr>
          <w:rFonts w:eastAsia="等线"/>
          <w:lang w:val="en-US" w:eastAsia="zh-CN"/>
        </w:rPr>
        <w:t xml:space="preserve"> on data collection</w:t>
      </w:r>
      <w:r>
        <w:rPr>
          <w:rFonts w:eastAsia="等线"/>
          <w:lang w:val="en-US" w:eastAsia="zh-CN"/>
        </w:rPr>
        <w:t xml:space="preserve"> </w:t>
      </w:r>
      <w:r w:rsidR="00F76D3A">
        <w:rPr>
          <w:rFonts w:eastAsia="等线"/>
          <w:lang w:val="en-US" w:eastAsia="zh-CN"/>
        </w:rPr>
        <w:t>for</w:t>
      </w:r>
      <w:r>
        <w:rPr>
          <w:rFonts w:eastAsia="等线"/>
          <w:lang w:val="en-US" w:eastAsia="zh-CN"/>
        </w:rPr>
        <w:t xml:space="preserve"> the hybrid approach.</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C83400" w:rsidRDefault="00F3090B" w:rsidP="003A4F57">
      <w:pPr>
        <w:tabs>
          <w:tab w:val="left" w:pos="5103"/>
        </w:tabs>
        <w:spacing w:after="240" w:line="360" w:lineRule="auto"/>
        <w:rPr>
          <w:rFonts w:eastAsia="等线"/>
          <w:lang w:val="en-US" w:eastAsia="zh-CN"/>
        </w:rPr>
      </w:pPr>
      <w:r>
        <w:rPr>
          <w:rFonts w:eastAsia="等线"/>
          <w:lang w:val="en-US" w:eastAsia="zh-CN"/>
        </w:rPr>
        <w:t xml:space="preserve">In the approved framework for FR2 MIMO OTA [2], the Hybrid approach is described in clause 2.2.6.2, and three approaches are proposed and the </w:t>
      </w:r>
      <w:r w:rsidR="00DA3802">
        <w:rPr>
          <w:rFonts w:eastAsia="等线"/>
          <w:lang w:val="en-US" w:eastAsia="zh-CN"/>
        </w:rPr>
        <w:t>applicability of the approaches</w:t>
      </w:r>
      <w:r>
        <w:rPr>
          <w:rFonts w:eastAsia="等线"/>
          <w:lang w:val="en-US" w:eastAsia="zh-CN"/>
        </w:rPr>
        <w:t xml:space="preserve"> depend</w:t>
      </w:r>
      <w:r w:rsidR="00DA3802">
        <w:rPr>
          <w:rFonts w:eastAsia="等线"/>
          <w:lang w:val="en-US" w:eastAsia="zh-CN"/>
        </w:rPr>
        <w:t>s</w:t>
      </w:r>
      <w:r>
        <w:rPr>
          <w:rFonts w:eastAsia="等线"/>
          <w:lang w:val="en-US" w:eastAsia="zh-CN"/>
        </w:rPr>
        <w:t xml:space="preserve"> on the conditions of simulation alignment results and the amount of measurement results. </w:t>
      </w:r>
    </w:p>
    <w:p w:rsidR="00C83400" w:rsidRDefault="00DA3802" w:rsidP="00DA3802">
      <w:pPr>
        <w:tabs>
          <w:tab w:val="left" w:pos="5103"/>
        </w:tabs>
        <w:spacing w:after="240" w:line="360" w:lineRule="auto"/>
        <w:jc w:val="center"/>
        <w:rPr>
          <w:rFonts w:eastAsia="等线"/>
          <w:lang w:val="en-US" w:eastAsia="zh-CN"/>
        </w:rPr>
      </w:pPr>
      <w:r>
        <w:rPr>
          <w:noProof/>
        </w:rPr>
        <w:drawing>
          <wp:inline distT="0" distB="0" distL="0" distR="0" wp14:anchorId="596F3BFA" wp14:editId="4A21CAD3">
            <wp:extent cx="5397500" cy="630848"/>
            <wp:effectExtent l="19050" t="19050" r="12700"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52729" cy="637303"/>
                    </a:xfrm>
                    <a:prstGeom prst="rect">
                      <a:avLst/>
                    </a:prstGeom>
                    <a:ln>
                      <a:solidFill>
                        <a:schemeClr val="tx1"/>
                      </a:solidFill>
                    </a:ln>
                  </pic:spPr>
                </pic:pic>
              </a:graphicData>
            </a:graphic>
          </wp:inline>
        </w:drawing>
      </w:r>
    </w:p>
    <w:p w:rsidR="00C83400" w:rsidRDefault="00DA3802" w:rsidP="00DA3802">
      <w:pPr>
        <w:tabs>
          <w:tab w:val="left" w:pos="5103"/>
        </w:tabs>
        <w:spacing w:after="240" w:line="360" w:lineRule="auto"/>
        <w:jc w:val="center"/>
        <w:rPr>
          <w:rFonts w:eastAsia="等线"/>
          <w:lang w:val="en-US" w:eastAsia="zh-CN"/>
        </w:rPr>
      </w:pPr>
      <w:r>
        <w:rPr>
          <w:noProof/>
        </w:rPr>
        <w:drawing>
          <wp:inline distT="0" distB="0" distL="0" distR="0" wp14:anchorId="03E2C5F7" wp14:editId="2059531C">
            <wp:extent cx="5416550" cy="671509"/>
            <wp:effectExtent l="19050" t="19050" r="1270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45441" cy="675091"/>
                    </a:xfrm>
                    <a:prstGeom prst="rect">
                      <a:avLst/>
                    </a:prstGeom>
                    <a:ln>
                      <a:solidFill>
                        <a:schemeClr val="tx1"/>
                      </a:solidFill>
                    </a:ln>
                  </pic:spPr>
                </pic:pic>
              </a:graphicData>
            </a:graphic>
          </wp:inline>
        </w:drawing>
      </w:r>
    </w:p>
    <w:p w:rsidR="00C83400" w:rsidRDefault="00DA3802" w:rsidP="00DA3802">
      <w:pPr>
        <w:tabs>
          <w:tab w:val="left" w:pos="5103"/>
        </w:tabs>
        <w:spacing w:after="240" w:line="360" w:lineRule="auto"/>
        <w:jc w:val="center"/>
        <w:rPr>
          <w:rFonts w:eastAsia="等线"/>
          <w:lang w:val="en-US" w:eastAsia="zh-CN"/>
        </w:rPr>
      </w:pPr>
      <w:r>
        <w:rPr>
          <w:noProof/>
        </w:rPr>
        <w:drawing>
          <wp:inline distT="0" distB="0" distL="0" distR="0" wp14:anchorId="044F0593" wp14:editId="23CEE106">
            <wp:extent cx="5435600" cy="623179"/>
            <wp:effectExtent l="19050" t="19050" r="12700" b="247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1123" cy="626105"/>
                    </a:xfrm>
                    <a:prstGeom prst="rect">
                      <a:avLst/>
                    </a:prstGeom>
                    <a:ln>
                      <a:solidFill>
                        <a:schemeClr val="tx1"/>
                      </a:solidFill>
                    </a:ln>
                  </pic:spPr>
                </pic:pic>
              </a:graphicData>
            </a:graphic>
          </wp:inline>
        </w:drawing>
      </w:r>
    </w:p>
    <w:p w:rsidR="00DA3802" w:rsidRDefault="00DA3802" w:rsidP="003A4F57">
      <w:pPr>
        <w:tabs>
          <w:tab w:val="left" w:pos="5103"/>
        </w:tabs>
        <w:spacing w:after="240" w:line="360" w:lineRule="auto"/>
        <w:rPr>
          <w:rFonts w:eastAsia="等线"/>
          <w:lang w:val="en-US" w:eastAsia="zh-CN"/>
        </w:rPr>
      </w:pPr>
      <w:r>
        <w:rPr>
          <w:rFonts w:eastAsia="等线"/>
          <w:lang w:val="en-US" w:eastAsia="zh-CN"/>
        </w:rPr>
        <w:t>Not matter which Hybrid approach is applied for performance requirement derivation, simulation results will be used together with measurement results.</w:t>
      </w:r>
      <w:r w:rsidR="00C8527B">
        <w:rPr>
          <w:rFonts w:eastAsia="等线"/>
          <w:lang w:val="en-US" w:eastAsia="zh-CN"/>
        </w:rPr>
        <w:t xml:space="preserve"> The simulation results submitted to the data pool </w:t>
      </w:r>
      <w:r w:rsidR="00453946">
        <w:rPr>
          <w:rFonts w:eastAsia="等线"/>
          <w:lang w:val="en-US" w:eastAsia="zh-CN"/>
        </w:rPr>
        <w:t>are required to follow practical UE implementations</w:t>
      </w:r>
      <w:r w:rsidR="005A34BB">
        <w:rPr>
          <w:rFonts w:eastAsia="等线"/>
          <w:lang w:val="en-US" w:eastAsia="zh-CN"/>
        </w:rPr>
        <w:t xml:space="preserve">. </w:t>
      </w:r>
    </w:p>
    <w:p w:rsidR="005A34BB" w:rsidRDefault="005A34BB" w:rsidP="005A34BB">
      <w:pPr>
        <w:tabs>
          <w:tab w:val="left" w:pos="5103"/>
        </w:tabs>
        <w:spacing w:after="240" w:line="360" w:lineRule="auto"/>
        <w:jc w:val="center"/>
        <w:rPr>
          <w:rFonts w:eastAsia="等线"/>
          <w:lang w:val="en-US" w:eastAsia="zh-CN"/>
        </w:rPr>
      </w:pPr>
      <w:r>
        <w:rPr>
          <w:noProof/>
        </w:rPr>
        <w:lastRenderedPageBreak/>
        <w:drawing>
          <wp:inline distT="0" distB="0" distL="0" distR="0" wp14:anchorId="546C3165" wp14:editId="77E2DCBA">
            <wp:extent cx="5467350" cy="1792338"/>
            <wp:effectExtent l="19050" t="19050" r="19050" b="177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97107" cy="1802093"/>
                    </a:xfrm>
                    <a:prstGeom prst="rect">
                      <a:avLst/>
                    </a:prstGeom>
                    <a:ln>
                      <a:solidFill>
                        <a:schemeClr val="tx1"/>
                      </a:solidFill>
                    </a:ln>
                  </pic:spPr>
                </pic:pic>
              </a:graphicData>
            </a:graphic>
          </wp:inline>
        </w:drawing>
      </w:r>
    </w:p>
    <w:p w:rsidR="00DA3802" w:rsidRDefault="002D25C3" w:rsidP="003A4F57">
      <w:pPr>
        <w:tabs>
          <w:tab w:val="left" w:pos="5103"/>
        </w:tabs>
        <w:spacing w:after="240" w:line="360" w:lineRule="auto"/>
        <w:rPr>
          <w:rFonts w:eastAsia="等线"/>
          <w:lang w:val="en-US" w:eastAsia="zh-CN"/>
        </w:rPr>
      </w:pPr>
      <w:r>
        <w:rPr>
          <w:rFonts w:eastAsia="等线"/>
          <w:lang w:val="en-US" w:eastAsia="zh-CN"/>
        </w:rPr>
        <w:t xml:space="preserve">As per general understanding of </w:t>
      </w:r>
      <w:r w:rsidR="001F4012">
        <w:rPr>
          <w:rFonts w:eastAsia="等线"/>
          <w:lang w:val="en-US" w:eastAsia="zh-CN"/>
        </w:rPr>
        <w:t xml:space="preserve">practical implementation, </w:t>
      </w:r>
      <w:r w:rsidR="00AA4418">
        <w:rPr>
          <w:rFonts w:eastAsia="等线"/>
          <w:lang w:val="en-US" w:eastAsia="zh-CN"/>
        </w:rPr>
        <w:t xml:space="preserve">both the FR2 antenna patterns and the allocation of the antenna modules should come from real FR2 devices, favorably FR2 commercial devices. </w:t>
      </w:r>
      <w:r w:rsidR="00243E4D">
        <w:rPr>
          <w:rFonts w:eastAsia="等线"/>
          <w:lang w:val="en-US" w:eastAsia="zh-CN"/>
        </w:rPr>
        <w:t xml:space="preserve">Following this understanding, there will be a circumstance that the simulation result with the simulation assumption based on a commercial device, naming Device A, is submitted to the data pool, while the measurement result of Device A is also submitted to the data pool. The two results are two collected data in the data pool for data post-processing. However, they are actually characterizing the same UE model. And this </w:t>
      </w:r>
      <w:r w:rsidR="00E5380B">
        <w:rPr>
          <w:rFonts w:eastAsia="等线"/>
          <w:lang w:val="en-US" w:eastAsia="zh-CN"/>
        </w:rPr>
        <w:t xml:space="preserve">circumstance will bias the data distribution of the data pool, especially for the case that the collected data in the pool are few. To avoid </w:t>
      </w:r>
      <w:r w:rsidR="00B473FF">
        <w:rPr>
          <w:rFonts w:eastAsia="等线"/>
          <w:lang w:val="en-US" w:eastAsia="zh-CN"/>
        </w:rPr>
        <w:t>the same model being double counted, similar approaches in [3] should be consider to adopt for not only the measurement data pool but also the hybrid data pool.</w:t>
      </w:r>
    </w:p>
    <w:p w:rsidR="005A34BB" w:rsidRPr="0086031D" w:rsidRDefault="0086031D" w:rsidP="003A4F57">
      <w:pPr>
        <w:tabs>
          <w:tab w:val="left" w:pos="5103"/>
        </w:tabs>
        <w:spacing w:after="240" w:line="360" w:lineRule="auto"/>
        <w:rPr>
          <w:rFonts w:eastAsia="等线"/>
          <w:b/>
          <w:i/>
          <w:lang w:val="en-US" w:eastAsia="zh-CN"/>
        </w:rPr>
      </w:pPr>
      <w:r w:rsidRPr="0086031D">
        <w:rPr>
          <w:rFonts w:eastAsia="等线" w:hint="eastAsia"/>
          <w:b/>
          <w:i/>
          <w:lang w:val="en-US" w:eastAsia="zh-CN"/>
        </w:rPr>
        <w:t>P</w:t>
      </w:r>
      <w:r w:rsidRPr="0086031D">
        <w:rPr>
          <w:rFonts w:eastAsia="等线"/>
          <w:b/>
          <w:i/>
          <w:lang w:val="en-US" w:eastAsia="zh-CN"/>
        </w:rPr>
        <w:t xml:space="preserve">roposal: similar approaches in </w:t>
      </w:r>
      <w:r w:rsidRPr="0086031D">
        <w:rPr>
          <w:rFonts w:eastAsia="宋体"/>
          <w:b/>
          <w:bCs/>
          <w:i/>
          <w:lang w:eastAsia="zh-CN"/>
        </w:rPr>
        <w:t>R4-2220265 (WF for test device information collection for the measurement data pool from Rel-17 TRP TRS WI and Rel-17 FR1 MIMO OTA)</w:t>
      </w:r>
      <w:r w:rsidRPr="0086031D">
        <w:rPr>
          <w:rFonts w:eastAsia="等线"/>
          <w:b/>
          <w:i/>
          <w:lang w:val="en-US" w:eastAsia="zh-CN"/>
        </w:rPr>
        <w:t xml:space="preserve"> should be consider to adopt for not only the measurement data pool but also the hybrid data pool.</w:t>
      </w:r>
    </w:p>
    <w:p w:rsidR="00C83400" w:rsidRDefault="00C83400" w:rsidP="003A4F57">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68788A">
        <w:rPr>
          <w:rFonts w:eastAsia="等线"/>
          <w:lang w:val="en-US" w:eastAsia="zh-CN"/>
        </w:rPr>
        <w:t>presents</w:t>
      </w:r>
      <w:r w:rsidR="00F76D3A">
        <w:rPr>
          <w:rFonts w:eastAsia="等线"/>
          <w:lang w:val="en-US" w:eastAsia="zh-CN"/>
        </w:rPr>
        <w:t xml:space="preserve"> our considerations on the collected data in the hybrid data pool when both simulated results and measurement results are submitted. </w:t>
      </w:r>
      <w:r w:rsidR="00270617" w:rsidRPr="007B0977">
        <w:rPr>
          <w:rFonts w:eastAsia="等线"/>
          <w:lang w:val="en-US" w:eastAsia="zh-CN"/>
        </w:rPr>
        <w:t xml:space="preserve">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F76D3A" w:rsidRPr="0086031D" w:rsidRDefault="00F76D3A" w:rsidP="00F76D3A">
      <w:pPr>
        <w:tabs>
          <w:tab w:val="left" w:pos="5103"/>
        </w:tabs>
        <w:spacing w:after="240" w:line="360" w:lineRule="auto"/>
        <w:rPr>
          <w:rFonts w:eastAsia="等线"/>
          <w:b/>
          <w:i/>
          <w:lang w:val="en-US" w:eastAsia="zh-CN"/>
        </w:rPr>
      </w:pPr>
      <w:r w:rsidRPr="0086031D">
        <w:rPr>
          <w:rFonts w:eastAsia="等线" w:hint="eastAsia"/>
          <w:b/>
          <w:i/>
          <w:lang w:val="en-US" w:eastAsia="zh-CN"/>
        </w:rPr>
        <w:t>P</w:t>
      </w:r>
      <w:r w:rsidRPr="0086031D">
        <w:rPr>
          <w:rFonts w:eastAsia="等线"/>
          <w:b/>
          <w:i/>
          <w:lang w:val="en-US" w:eastAsia="zh-CN"/>
        </w:rPr>
        <w:t xml:space="preserve">roposal: similar approaches in </w:t>
      </w:r>
      <w:r w:rsidRPr="0086031D">
        <w:rPr>
          <w:rFonts w:eastAsia="宋体"/>
          <w:b/>
          <w:bCs/>
          <w:i/>
          <w:lang w:eastAsia="zh-CN"/>
        </w:rPr>
        <w:t>R4-2220265 (WF for test device information collection for the measurement data pool from Rel-17 TRP TRS WI and Rel-17 FR1 MIMO OTA)</w:t>
      </w:r>
      <w:r w:rsidRPr="0086031D">
        <w:rPr>
          <w:rFonts w:eastAsia="等线"/>
          <w:b/>
          <w:i/>
          <w:lang w:val="en-US" w:eastAsia="zh-CN"/>
        </w:rPr>
        <w:t xml:space="preserve"> should be consider to adopt for not only the measurement data pool but also the hybrid data pool.</w:t>
      </w:r>
    </w:p>
    <w:p w:rsidR="009A4E55" w:rsidRPr="0068788A"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C83400" w:rsidRPr="00C83400">
        <w:rPr>
          <w:rFonts w:eastAsia="等线"/>
          <w:lang w:val="en-US" w:eastAsia="zh-CN"/>
        </w:rPr>
        <w:t>R4-2302975, WF for Rel-18 MIMO OTA</w:t>
      </w:r>
      <w:r w:rsidR="00C83400">
        <w:rPr>
          <w:rFonts w:eastAsia="等线"/>
          <w:lang w:val="en-US" w:eastAsia="zh-CN"/>
        </w:rPr>
        <w:t>, CAICT</w:t>
      </w:r>
    </w:p>
    <w:p w:rsidR="00F3090B" w:rsidRDefault="00F3090B" w:rsidP="0068788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bookmarkStart w:id="3" w:name="OLE_LINK26"/>
      <w:r w:rsidRPr="00F3090B">
        <w:rPr>
          <w:rFonts w:eastAsia="等线"/>
          <w:lang w:val="en-US" w:eastAsia="zh-CN"/>
        </w:rPr>
        <w:t xml:space="preserve">R4-2301046, Updated Framework for </w:t>
      </w:r>
      <w:bookmarkStart w:id="4" w:name="OLE_LINK20"/>
      <w:r w:rsidRPr="00F3090B">
        <w:rPr>
          <w:rFonts w:eastAsia="等线"/>
          <w:lang w:val="en-US" w:eastAsia="zh-CN"/>
        </w:rPr>
        <w:t xml:space="preserve">FR2 MIMO OTA </w:t>
      </w:r>
      <w:bookmarkEnd w:id="4"/>
      <w:r w:rsidRPr="00F3090B">
        <w:rPr>
          <w:rFonts w:eastAsia="等线"/>
          <w:lang w:val="en-US" w:eastAsia="zh-CN"/>
        </w:rPr>
        <w:t>performance requirements development</w:t>
      </w:r>
      <w:bookmarkEnd w:id="3"/>
      <w:r w:rsidR="00B473FF">
        <w:rPr>
          <w:rFonts w:eastAsia="等线"/>
          <w:lang w:val="en-US" w:eastAsia="zh-CN"/>
        </w:rPr>
        <w:t>, CAICT</w:t>
      </w:r>
    </w:p>
    <w:p w:rsidR="00B473FF" w:rsidRDefault="00B473FF" w:rsidP="0068788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AF29C4">
        <w:rPr>
          <w:rFonts w:eastAsia="宋体"/>
          <w:bCs/>
          <w:lang w:eastAsia="zh-CN"/>
        </w:rPr>
        <w:t>R4-2220265</w:t>
      </w:r>
      <w:r>
        <w:rPr>
          <w:rFonts w:eastAsia="宋体"/>
          <w:bCs/>
          <w:lang w:eastAsia="zh-CN"/>
        </w:rPr>
        <w:t xml:space="preserve">, </w:t>
      </w:r>
      <w:r w:rsidRPr="00AF29C4">
        <w:rPr>
          <w:rFonts w:eastAsia="宋体"/>
          <w:bCs/>
          <w:lang w:eastAsia="zh-CN"/>
        </w:rPr>
        <w:t>WF for test device information collection for the measurement data pool from Rel-17 TRP TRS WI and Rel-17 FR1 MIMO OTA</w:t>
      </w:r>
      <w:r>
        <w:rPr>
          <w:rFonts w:eastAsia="宋体"/>
          <w:bCs/>
          <w:lang w:eastAsia="zh-CN"/>
        </w:rPr>
        <w:t>, Apple</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D64" w:rsidRDefault="000E3D64">
      <w:r>
        <w:separator/>
      </w:r>
    </w:p>
  </w:endnote>
  <w:endnote w:type="continuationSeparator" w:id="0">
    <w:p w:rsidR="000E3D64" w:rsidRDefault="000E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D64" w:rsidRDefault="000E3D64">
      <w:r>
        <w:separator/>
      </w:r>
    </w:p>
  </w:footnote>
  <w:footnote w:type="continuationSeparator" w:id="0">
    <w:p w:rsidR="000E3D64" w:rsidRDefault="000E3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0"/>
  </w:num>
  <w:num w:numId="4">
    <w:abstractNumId w:val="4"/>
  </w:num>
  <w:num w:numId="5">
    <w:abstractNumId w:val="7"/>
  </w:num>
  <w:num w:numId="6">
    <w:abstractNumId w:val="2"/>
  </w:num>
  <w:num w:numId="7">
    <w:abstractNumId w:val="9"/>
  </w:num>
  <w:num w:numId="8">
    <w:abstractNumId w:val="1"/>
  </w:num>
  <w:num w:numId="9">
    <w:abstractNumId w:val="8"/>
  </w:num>
  <w:num w:numId="10">
    <w:abstractNumId w:val="0"/>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3D64"/>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012"/>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3E4D"/>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C3"/>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946"/>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4BB"/>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2FE3"/>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C73"/>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31D"/>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994"/>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418"/>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3FF"/>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534"/>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3400"/>
    <w:rsid w:val="00C840B4"/>
    <w:rsid w:val="00C8440B"/>
    <w:rsid w:val="00C84410"/>
    <w:rsid w:val="00C84694"/>
    <w:rsid w:val="00C84843"/>
    <w:rsid w:val="00C849E5"/>
    <w:rsid w:val="00C84EEB"/>
    <w:rsid w:val="00C8527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59F"/>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02"/>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380B"/>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90B"/>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D3A"/>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6D3A"/>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E8084-B20A-4182-B7CA-DFC7DCA2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443</Words>
  <Characters>2527</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11</cp:revision>
  <cp:lastPrinted>2013-04-01T04:20:00Z</cp:lastPrinted>
  <dcterms:created xsi:type="dcterms:W3CDTF">2023-04-03T09:29:00Z</dcterms:created>
  <dcterms:modified xsi:type="dcterms:W3CDTF">2023-04-10T15:06:00Z</dcterms:modified>
</cp:coreProperties>
</file>